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DFF1B" w14:textId="54585283" w:rsidR="0004471F" w:rsidRDefault="0004471F" w:rsidP="0004471F">
      <w:pPr>
        <w:pStyle w:val="NormalWeb"/>
        <w:spacing w:before="240" w:beforeAutospacing="0" w:after="240" w:afterAutospacing="0"/>
      </w:pPr>
      <w:r>
        <w:rPr>
          <w:rFonts w:ascii="Arial" w:hAnsi="Arial" w:cs="Arial"/>
          <w:b/>
          <w:bCs/>
          <w:noProof/>
          <w:color w:val="000000"/>
        </w:rPr>
        <w:drawing>
          <wp:inline distT="0" distB="0" distL="0" distR="0" wp14:anchorId="0E736748" wp14:editId="145D24C5">
            <wp:extent cx="2895600" cy="733425"/>
            <wp:effectExtent l="0" t="0" r="0" b="9525"/>
            <wp:docPr id="1" name="Picture 1" descr="Colorado Division of Insu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Division of Insuranc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733425"/>
                    </a:xfrm>
                    <a:prstGeom prst="rect">
                      <a:avLst/>
                    </a:prstGeom>
                    <a:noFill/>
                    <a:ln>
                      <a:noFill/>
                    </a:ln>
                  </pic:spPr>
                </pic:pic>
              </a:graphicData>
            </a:graphic>
          </wp:inline>
        </w:drawing>
      </w:r>
    </w:p>
    <w:p w14:paraId="5740B9B9" w14:textId="77777777" w:rsidR="0004471F" w:rsidRDefault="0004471F" w:rsidP="0004471F">
      <w:pPr>
        <w:pStyle w:val="NormalWeb"/>
        <w:spacing w:before="240" w:beforeAutospacing="0" w:after="240" w:afterAutospacing="0"/>
      </w:pPr>
      <w:r>
        <w:rPr>
          <w:rStyle w:val="Strong"/>
          <w:rFonts w:ascii="Arial" w:hAnsi="Arial" w:cs="Arial"/>
          <w:color w:val="000000"/>
          <w:u w:val="single"/>
        </w:rPr>
        <w:t>NOTICE: Renewals, Procedures, and Proctoring Requirements related to Insurance Producer, Insurance Agency, Cash-Bonding Agent, and Professional Cash-Bonding Agent License Requirements</w:t>
      </w:r>
    </w:p>
    <w:p w14:paraId="6921E56A" w14:textId="77777777" w:rsidR="0004471F" w:rsidRDefault="0004471F" w:rsidP="0004471F">
      <w:pPr>
        <w:pStyle w:val="NormalWeb"/>
        <w:spacing w:before="240" w:beforeAutospacing="0" w:after="240" w:afterAutospacing="0"/>
      </w:pPr>
      <w:r>
        <w:rPr>
          <w:rFonts w:ascii="Arial" w:hAnsi="Arial" w:cs="Arial"/>
          <w:color w:val="000000"/>
        </w:rPr>
        <w:t>October 13, 2020</w:t>
      </w:r>
    </w:p>
    <w:p w14:paraId="546B1356" w14:textId="77777777" w:rsidR="0004471F" w:rsidRDefault="0004471F" w:rsidP="0004471F">
      <w:pPr>
        <w:pStyle w:val="NormalWeb"/>
        <w:spacing w:before="240" w:beforeAutospacing="0" w:after="240" w:afterAutospacing="0"/>
      </w:pPr>
      <w:r>
        <w:rPr>
          <w:rStyle w:val="Strong"/>
          <w:rFonts w:ascii="Arial" w:hAnsi="Arial" w:cs="Arial"/>
          <w:color w:val="000000"/>
          <w:u w:val="single"/>
        </w:rPr>
        <w:t>Background and Purpose:</w:t>
      </w:r>
    </w:p>
    <w:p w14:paraId="2AD19F70" w14:textId="77777777" w:rsidR="0004471F" w:rsidRDefault="0004471F" w:rsidP="0004471F">
      <w:pPr>
        <w:pStyle w:val="NormalWeb"/>
        <w:spacing w:before="240" w:beforeAutospacing="0" w:after="240" w:afterAutospacing="0"/>
      </w:pPr>
      <w:r>
        <w:rPr>
          <w:rFonts w:ascii="Arial" w:hAnsi="Arial" w:cs="Arial"/>
          <w:color w:val="000000"/>
        </w:rPr>
        <w:t>On April 2, 2020, the Colorado Division of Insurance (“Division”) adopted Emergency Regulation 20-E-04. Under Emergency Regulation 20-E-04, the Division temporarily waived proctoring requirements for continuing education exams and continued license and registration renewal deadlines. This included the associated procedures for license and registration continuation, continuing education requirements, and licensing fees.</w:t>
      </w:r>
    </w:p>
    <w:p w14:paraId="46DE5352" w14:textId="77777777" w:rsidR="0004471F" w:rsidRDefault="0004471F" w:rsidP="0004471F">
      <w:pPr>
        <w:pStyle w:val="NormalWeb"/>
        <w:spacing w:before="240" w:beforeAutospacing="0" w:after="240" w:afterAutospacing="0"/>
      </w:pPr>
      <w:r>
        <w:rPr>
          <w:rFonts w:ascii="Arial" w:hAnsi="Arial" w:cs="Arial"/>
          <w:color w:val="000000"/>
        </w:rPr>
        <w:t xml:space="preserve">Emergency Regulation 20-E-04 contemplated that the Division would provide all current insurance producers, insurance agencies, cash-bonding agents, and professional cash-bail agents affected by the temporary continuation sixty (60) </w:t>
      </w:r>
      <w:proofErr w:type="spellStart"/>
      <w:r>
        <w:rPr>
          <w:rFonts w:ascii="Arial" w:hAnsi="Arial" w:cs="Arial"/>
          <w:color w:val="000000"/>
        </w:rPr>
        <w:t>days notice</w:t>
      </w:r>
      <w:proofErr w:type="spellEnd"/>
      <w:r>
        <w:rPr>
          <w:rFonts w:ascii="Arial" w:hAnsi="Arial" w:cs="Arial"/>
          <w:color w:val="000000"/>
        </w:rPr>
        <w:t xml:space="preserve"> to come into compliance prior to the expiration of the emergency license continuation. </w:t>
      </w:r>
    </w:p>
    <w:p w14:paraId="5A2F3D24" w14:textId="77777777" w:rsidR="0004471F" w:rsidRDefault="0004471F" w:rsidP="0004471F">
      <w:pPr>
        <w:pStyle w:val="NormalWeb"/>
        <w:spacing w:before="240" w:beforeAutospacing="0" w:after="240" w:afterAutospacing="0"/>
      </w:pPr>
      <w:r>
        <w:rPr>
          <w:rFonts w:ascii="Arial" w:hAnsi="Arial" w:cs="Arial"/>
          <w:color w:val="000000"/>
        </w:rPr>
        <w:t>Accordingly, the Division is providing notice of the following requirements to all insurance producers, insurance agencies, cash-bonding agents, and professional cash-bail agents affected by the temporary continuation. </w:t>
      </w:r>
    </w:p>
    <w:p w14:paraId="61496B70" w14:textId="77777777" w:rsidR="0004471F" w:rsidRDefault="0004471F" w:rsidP="0004471F">
      <w:pPr>
        <w:pStyle w:val="NormalWeb"/>
        <w:spacing w:before="240" w:beforeAutospacing="0" w:after="240" w:afterAutospacing="0"/>
      </w:pPr>
      <w:r>
        <w:rPr>
          <w:rStyle w:val="Strong"/>
          <w:rFonts w:ascii="Arial" w:hAnsi="Arial" w:cs="Arial"/>
          <w:color w:val="000000"/>
          <w:u w:val="single"/>
        </w:rPr>
        <w:t>Notice: Licenses with Expiration Dates between March 31, 2020 and December 31, 2020</w:t>
      </w:r>
    </w:p>
    <w:p w14:paraId="58AB8DF7" w14:textId="77777777" w:rsidR="0004471F" w:rsidRDefault="0004471F" w:rsidP="0004471F">
      <w:pPr>
        <w:pStyle w:val="NormalWeb"/>
        <w:spacing w:before="240" w:beforeAutospacing="0" w:after="240" w:afterAutospacing="0"/>
      </w:pPr>
      <w:r>
        <w:rPr>
          <w:rFonts w:ascii="Arial" w:hAnsi="Arial" w:cs="Arial"/>
          <w:color w:val="000000"/>
        </w:rPr>
        <w:t xml:space="preserve">All insurance producers, insurance agencies, cash-bonding agents, and professional cash-bail agents who were granted, benefitted from, or affected by temporary continuation of license renewal deadlines, associated procedures, including continuing education requirements and licensing fees, must come into compliance with all applicable Colorado insurance laws, including, </w:t>
      </w:r>
      <w:r>
        <w:rPr>
          <w:rStyle w:val="Emphasis"/>
          <w:rFonts w:ascii="Trebuchet MS" w:hAnsi="Trebuchet MS"/>
          <w:color w:val="000000"/>
          <w:sz w:val="24"/>
          <w:szCs w:val="24"/>
        </w:rPr>
        <w:t>but not limited to</w:t>
      </w:r>
      <w:r>
        <w:rPr>
          <w:rFonts w:ascii="Trebuchet MS" w:hAnsi="Trebuchet MS" w:cs="Arial"/>
          <w:color w:val="000000"/>
          <w:sz w:val="24"/>
          <w:szCs w:val="24"/>
        </w:rPr>
        <w:t xml:space="preserve">, C.R.S. § 10-2-101, et seq., C.R.S. § 10-23-102, et seq., and Division Regulations 1-2-10, 1-2-4, 7-1-1, 7-1-2, </w:t>
      </w:r>
      <w:r>
        <w:rPr>
          <w:rStyle w:val="Strong"/>
          <w:rFonts w:ascii="Trebuchet MS" w:hAnsi="Trebuchet MS"/>
          <w:color w:val="000000"/>
          <w:sz w:val="24"/>
          <w:szCs w:val="24"/>
        </w:rPr>
        <w:t> by December 31, 2020.</w:t>
      </w:r>
    </w:p>
    <w:p w14:paraId="4872143F" w14:textId="77777777" w:rsidR="0004471F" w:rsidRDefault="0004471F" w:rsidP="0004471F">
      <w:pPr>
        <w:pStyle w:val="NormalWeb"/>
        <w:spacing w:before="240" w:beforeAutospacing="0" w:after="240" w:afterAutospacing="0"/>
      </w:pPr>
      <w:r>
        <w:rPr>
          <w:rFonts w:ascii="Arial" w:hAnsi="Arial" w:cs="Arial"/>
          <w:color w:val="000000"/>
        </w:rPr>
        <w:t>Failure to come into compliance with renewal deadlines, associated procedures, continuing education requirements, and licensing fees by the deadline will result in license expiration and, when applicable, administrative action, including license suspensions, revocations, or any other sanction under Colorado insurance laws.</w:t>
      </w:r>
    </w:p>
    <w:p w14:paraId="5B7F94B8" w14:textId="77777777" w:rsidR="0004471F" w:rsidRDefault="0004471F" w:rsidP="0004471F">
      <w:pPr>
        <w:pStyle w:val="NormalWeb"/>
        <w:spacing w:before="240" w:beforeAutospacing="0" w:after="240" w:afterAutospacing="0"/>
      </w:pPr>
      <w:r>
        <w:rPr>
          <w:rFonts w:ascii="Arial" w:hAnsi="Arial" w:cs="Arial"/>
          <w:color w:val="000000"/>
        </w:rPr>
        <w:t xml:space="preserve">The Grace Period, as provided in C.R.S. § 10-23-102(3)(b) and Division Regulation 7-1-1, remains applicable to any cash-bonding agents and professional cash-bail agents whose registration expires between the date of this Notice and </w:t>
      </w:r>
      <w:r>
        <w:rPr>
          <w:rStyle w:val="Strong"/>
          <w:rFonts w:ascii="Trebuchet MS" w:hAnsi="Trebuchet MS"/>
          <w:color w:val="000000"/>
          <w:sz w:val="24"/>
          <w:szCs w:val="24"/>
        </w:rPr>
        <w:t>December 31, 2020.</w:t>
      </w:r>
      <w:r>
        <w:rPr>
          <w:rStyle w:val="Strong"/>
          <w:rFonts w:ascii="Trebuchet MS" w:hAnsi="Trebuchet MS"/>
          <w:color w:val="000000"/>
          <w:sz w:val="24"/>
          <w:szCs w:val="24"/>
          <w:u w:val="single"/>
        </w:rPr>
        <w:t xml:space="preserve"> </w:t>
      </w:r>
      <w:r>
        <w:rPr>
          <w:rFonts w:ascii="Arial" w:hAnsi="Arial" w:cs="Arial"/>
          <w:color w:val="000000"/>
        </w:rPr>
        <w:t> </w:t>
      </w:r>
    </w:p>
    <w:p w14:paraId="48793CE5" w14:textId="77777777" w:rsidR="0004471F" w:rsidRDefault="0004471F" w:rsidP="0004471F">
      <w:pPr>
        <w:pStyle w:val="NormalWeb"/>
        <w:spacing w:before="240" w:beforeAutospacing="0" w:after="240" w:afterAutospacing="0"/>
      </w:pPr>
      <w:r>
        <w:rPr>
          <w:rStyle w:val="Strong"/>
          <w:rFonts w:ascii="Arial" w:hAnsi="Arial" w:cs="Arial"/>
          <w:color w:val="000000"/>
          <w:u w:val="single"/>
        </w:rPr>
        <w:t>Proctoring Requirements</w:t>
      </w:r>
    </w:p>
    <w:p w14:paraId="6E22062A" w14:textId="77777777" w:rsidR="0004471F" w:rsidRDefault="0004471F" w:rsidP="0004471F">
      <w:pPr>
        <w:pStyle w:val="NormalWeb"/>
        <w:spacing w:before="240" w:beforeAutospacing="0" w:after="240" w:afterAutospacing="0"/>
      </w:pPr>
      <w:r>
        <w:rPr>
          <w:rFonts w:ascii="Arial" w:hAnsi="Arial" w:cs="Arial"/>
          <w:color w:val="000000"/>
        </w:rPr>
        <w:lastRenderedPageBreak/>
        <w:t xml:space="preserve">Effective </w:t>
      </w:r>
      <w:r>
        <w:rPr>
          <w:rStyle w:val="Strong"/>
          <w:rFonts w:ascii="Trebuchet MS" w:hAnsi="Trebuchet MS"/>
          <w:color w:val="000000"/>
          <w:sz w:val="24"/>
          <w:szCs w:val="24"/>
        </w:rPr>
        <w:t xml:space="preserve">December 31, 2020, </w:t>
      </w:r>
      <w:r>
        <w:rPr>
          <w:rFonts w:ascii="Trebuchet MS" w:hAnsi="Trebuchet MS" w:cs="Arial"/>
          <w:color w:val="000000"/>
          <w:sz w:val="24"/>
          <w:szCs w:val="24"/>
        </w:rPr>
        <w:t>the proctoring requirements contained in Colorado Insurance Regulation 1-2-4, Section (5)(c)(1)(d) are no longer waived and must be satisfied.</w:t>
      </w:r>
    </w:p>
    <w:p w14:paraId="34A2DD08" w14:textId="77777777" w:rsidR="006C5A97" w:rsidRDefault="006C5A97"/>
    <w:sectPr w:rsidR="006C5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1F"/>
    <w:rsid w:val="0004471F"/>
    <w:rsid w:val="006C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5D70"/>
  <w15:chartTrackingRefBased/>
  <w15:docId w15:val="{B8AA42B8-714D-42D5-B610-8795AC67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71F"/>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04471F"/>
    <w:rPr>
      <w:b/>
      <w:bCs/>
    </w:rPr>
  </w:style>
  <w:style w:type="character" w:styleId="Emphasis">
    <w:name w:val="Emphasis"/>
    <w:basedOn w:val="DefaultParagraphFont"/>
    <w:uiPriority w:val="20"/>
    <w:qFormat/>
    <w:rsid w:val="000447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5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Cybil Sandusky</dc:creator>
  <cp:keywords/>
  <dc:description/>
  <cp:lastModifiedBy>Cybil Sandusky</cp:lastModifiedBy>
  <cp:revision>1</cp:revision>
  <dcterms:created xsi:type="dcterms:W3CDTF">2020-10-14T18:22:00Z</dcterms:created>
  <dcterms:modified xsi:type="dcterms:W3CDTF">2020-10-14T18:31:00Z</dcterms:modified>
</cp:coreProperties>
</file>